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FEDC" w14:textId="77777777" w:rsidR="00AC0B4C" w:rsidRDefault="00AC0B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0A3E45A" w14:textId="77777777" w:rsidR="00E75515" w:rsidRDefault="00E7551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239C053" w14:textId="03AFAD7B" w:rsidR="00734FBA" w:rsidRDefault="00AC0B4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0B4C">
        <w:rPr>
          <w:rFonts w:ascii="Times New Roman" w:hAnsi="Times New Roman" w:cs="Times New Roman"/>
          <w:b/>
          <w:bCs/>
          <w:sz w:val="28"/>
          <w:szCs w:val="28"/>
        </w:rPr>
        <w:t xml:space="preserve">Prilog </w:t>
      </w:r>
      <w:r w:rsidR="009B636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C0B4C">
        <w:rPr>
          <w:rFonts w:ascii="Times New Roman" w:hAnsi="Times New Roman" w:cs="Times New Roman"/>
          <w:b/>
          <w:bCs/>
          <w:sz w:val="28"/>
          <w:szCs w:val="28"/>
        </w:rPr>
        <w:t>. Demarkacija</w:t>
      </w:r>
    </w:p>
    <w:p w14:paraId="33A3DC2E" w14:textId="77777777" w:rsidR="00AC0B4C" w:rsidRDefault="00AC0B4C" w:rsidP="00AC0B4C">
      <w:pP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E1A206F" w14:textId="5901C307" w:rsidR="00AC0B4C" w:rsidRPr="00AC0B4C" w:rsidRDefault="00AC0B4C" w:rsidP="00AC0B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0B4C">
        <w:rPr>
          <w:rFonts w:ascii="Times New Roman" w:hAnsi="Times New Roman" w:cs="Times New Roman"/>
          <w:b/>
          <w:bCs/>
          <w:sz w:val="24"/>
          <w:szCs w:val="24"/>
        </w:rPr>
        <w:t xml:space="preserve">1. DEMARKACIJA U SEKTORU PČELARSTVA </w:t>
      </w:r>
    </w:p>
    <w:p w14:paraId="6B5B0BE7" w14:textId="77777777" w:rsidR="00AC0B4C" w:rsidRPr="00AC0B4C" w:rsidRDefault="00AC0B4C" w:rsidP="00AC0B4C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E484FF" w14:textId="77777777" w:rsidR="00AC0B4C" w:rsidRPr="00AC0B4C" w:rsidRDefault="00AC0B4C" w:rsidP="00AC0B4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 skladu s odredbama iz poglavlja 3.5.2. iz Strateškog plana i odredbama Pravilnika o provedbi intervencija za potporu ulaganjima u primarnu poljoprivrednu proizvodnju i preradu poljoprivrednih proizvoda iz Strateškog plana Zajedničke poljoprivredne politike Republike Hrvatske 2023. – 2027. </w:t>
      </w:r>
      <w:bookmarkStart w:id="0" w:name="_Hlk170741415"/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(“Narodne novine” broj 132/23, 7/24, 18/24) (u daljnjem tekstu: Pravilnik), </w:t>
      </w:r>
      <w:bookmarkEnd w:id="0"/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troškovi sufinancirani u sklopu intervencija u sektoru pčelarstva sukladno Pravilniku o provedbi intervencija u sektoru pčelarstva unutar Strateškog plana Zajedničke poljoprivredne politike Republike Hrvatske 2023. – 2027. (Narodne novine, br. 24/2023, 46/24) (u daljnjem tekstu: Pravilnik za sektorske intervencije u pčelarstvu) nisu prihvatljivi za sufinanciranje u sklopu intervencija ruralnog razvoja (uključujući i LAG intervencije).</w:t>
      </w:r>
    </w:p>
    <w:p w14:paraId="3FCEE9A7" w14:textId="6AA29669" w:rsidR="00AC0B4C" w:rsidRPr="00AC0B4C" w:rsidRDefault="00AC0B4C" w:rsidP="00AC0B4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Troškovi prihvatljivi za sufinanciranje u sklopu sektorskih intervencija u sektoru pčelarstva nisu prihvatljivi za sufinanciranje u navedenim sektorima u sklopu intervencija ruralnog razvoja (uključujući i LAG intervencije).</w:t>
      </w:r>
    </w:p>
    <w:p w14:paraId="7FE67C4A" w14:textId="77777777" w:rsidR="00AC0B4C" w:rsidRPr="00AC0B4C" w:rsidRDefault="00AC0B4C" w:rsidP="00AC0B4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 sklopu intervencija u sektoru pčelarstva prihvatljiva pomagala, pribor i oprema su navedeni u Prilogu I. i Prilogu II. Pravilnika za sektorske intervencije u pčelarstvu i ne mogu biti predmet financiranja </w:t>
      </w:r>
      <w:bookmarkStart w:id="1" w:name="_Hlk170741854"/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intervencijama ruralnog razvoja</w:t>
      </w:r>
      <w:bookmarkEnd w:id="1"/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(uključujući LAG intervencije). Oprema koja nije navedena u Pravilniku za sektorske intervencije u pčelarstvu i oprema koja se nabavlja kao cjelovita linija (za izradu satnih osnova, za punjenje meda u ambalažu, za </w:t>
      </w:r>
      <w:proofErr w:type="spellStart"/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otklapanje</w:t>
      </w:r>
      <w:proofErr w:type="spellEnd"/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saća, za vrcanje meda, za izradu šećernih pogača) je prihvatljiva za financiranje u intervencija ruralnog razvoja (uključujući LAG intervencije). Unutar intervencija ruralnog razvoja (uključujući LAG intervencije) nije prihvatljivo financiranje pojedinačnih dijelova linija niti nadogradnja postojećih linija kupovinom dijelova. U slučaju da na računu nije navedeno da se radi o liniji (za izradu satnih osnova, za punjenje meda u ambalažu, za </w:t>
      </w:r>
      <w:proofErr w:type="spellStart"/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otklapanje</w:t>
      </w:r>
      <w:proofErr w:type="spellEnd"/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saća, za vrcanje meda, za izradu šećernih pogača) i/ili je iz specifikacije opreme razvidno da se ne radi o cjelovitoj liniji, trošak neće biti prihvatljiv za financiranje u intervencija ruralnog razvoja (uključujući LAG intervencije).</w:t>
      </w:r>
    </w:p>
    <w:p w14:paraId="483B0DCE" w14:textId="77777777" w:rsidR="00AC0B4C" w:rsidRPr="00AC0B4C" w:rsidRDefault="00AC0B4C" w:rsidP="00AC0B4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 sklopu intervencija ruralnog razvoja (uključujući LAG intervencije) za korisnike koji su pčelari, prihvatljiva su ulaganja u one strojeve/mehanizaciju (specijalizirana vozila, pčelarske prikolice sa fiksnom konstrukcijom za smještaj košnica) koja nije navedena u Pravilniku za sektorske intervencije u pčelarstvu te u višenamjensku opremu/strojeve/mehanizaciju koja je navedena u Pravilniku za sektorske intervencije u pčelarstvu, ako to ulaganje nije u sektoru pčelarstva. </w:t>
      </w:r>
    </w:p>
    <w:p w14:paraId="1C8D7978" w14:textId="77777777" w:rsidR="00AC0B4C" w:rsidRPr="00AC0B4C" w:rsidRDefault="00AC0B4C" w:rsidP="00AC0B4C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A79BE11" w14:textId="77777777" w:rsidR="00AC0B4C" w:rsidRPr="00AC0B4C" w:rsidRDefault="00AC0B4C" w:rsidP="00AC0B4C">
      <w:pPr>
        <w:rPr>
          <w:rFonts w:ascii="Calibri" w:eastAsia="Calibri" w:hAnsi="Calibri" w:cs="Times New Roman"/>
          <w:kern w:val="0"/>
          <w14:ligatures w14:val="none"/>
        </w:rPr>
      </w:pPr>
    </w:p>
    <w:p w14:paraId="11B9F696" w14:textId="039DA8F6" w:rsidR="00AC0B4C" w:rsidRDefault="00AC0B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5F99E3" w14:textId="77777777" w:rsidR="00AC0B4C" w:rsidRDefault="00AC0B4C" w:rsidP="00AC0B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8FCB43B" w14:textId="5572D9E5" w:rsidR="00AC0B4C" w:rsidRPr="00AC0B4C" w:rsidRDefault="00AC0B4C" w:rsidP="00AC0B4C">
      <w:pPr>
        <w:ind w:left="360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C0B4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DEMARKACIJA U SEKTORU VINA </w:t>
      </w:r>
    </w:p>
    <w:p w14:paraId="419B2409" w14:textId="77777777" w:rsidR="00AC0B4C" w:rsidRPr="00AC0B4C" w:rsidRDefault="00AC0B4C" w:rsidP="00AC0B4C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C2369F" w14:textId="77777777" w:rsidR="00AC0B4C" w:rsidRPr="00AC0B4C" w:rsidRDefault="00AC0B4C" w:rsidP="00AC0B4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Poglavlje 3.5.3. Strateškog plana propisuje da se komplementarnost intervencija u sektoru vina s intervencijama iz EPFRR-a osigurava na način da je intervencijama iz EPFRR-a moguće sufinanciranje samo onih ulaganja koja se odnose na podizanje novih nasada vinograda s pripadajućom opremom i infrastrukturom.</w:t>
      </w:r>
    </w:p>
    <w:p w14:paraId="70B66B4B" w14:textId="77777777" w:rsidR="00AC0B4C" w:rsidRPr="00AC0B4C" w:rsidRDefault="00AC0B4C" w:rsidP="00AC0B4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Pravilnikom o provedbi intervencija za potporu ulaganjima u primarnu poljoprivrednu proizvodnju i preradu poljoprivrednih proizvoda iz Strateškog plana Zajedničke poljoprivredne politike Republike Hrvatske 2023. – 2027. („Narodne novine”, broj 132/23, 7/24 i 18/24) propisano je da troškovi prihvatljivi za sufinanciranje u sklopu sektorskih intervencija u sektoru vina nisu prihvatljivi za sufinanciranje u sklopu intervencija iz Pravilnika.</w:t>
      </w:r>
    </w:p>
    <w:p w14:paraId="213F0E10" w14:textId="77777777" w:rsidR="00AC0B4C" w:rsidRPr="00AC0B4C" w:rsidRDefault="00AC0B4C" w:rsidP="00AC0B4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Pravilniku o provedbi lokalnih razvojnih strategija unutar intervencije 77.06. Potpora LEADER (CLLD) pristupu iz Strateškog plana Zajedničke poljoprivredne politike Republike Hrvatske 2023. - 2027. („Narodne novine”, broj 113/2024) kao neprihvatljivi troškovi navedeni su troškovi prihvatljivi za sufinanciranje u sklopu sektorskih intervencija Strateškog plana u sektoru vina.</w:t>
      </w:r>
    </w:p>
    <w:p w14:paraId="0B0B525C" w14:textId="263488F4" w:rsidR="00AC0B4C" w:rsidRPr="00AC0B4C" w:rsidRDefault="00AC0B4C" w:rsidP="00AC0B4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 sklopu sektorske intervencije 58.1.a.01. Restrukturiranje i konverzija vinograda prihvatljivi troškovi su navodnjavanje, </w:t>
      </w:r>
      <w:proofErr w:type="spellStart"/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antifrost</w:t>
      </w:r>
      <w:proofErr w:type="spellEnd"/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sustav, sustav za </w:t>
      </w:r>
      <w:proofErr w:type="spellStart"/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fertirigaciju</w:t>
      </w:r>
      <w:proofErr w:type="spellEnd"/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digitalni alati, dronovi za praćenje zdravstvenog stanja nasada s prigodnim softverom te za upotrebu usmjerene zaštite ili folijarne gnojidbe na temelju stalnog praćenja stanja nasada u restrukturiranom vinogradu, a isti su mogući i samim time prihvatljivi u sklopu podizanja novog vinograda u sklopu </w:t>
      </w:r>
      <w:r w:rsidR="004948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LAG</w:t>
      </w:r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intervencija. Iz navedenog razloga demarkaciju nije moguće napraviti na razini troška već na razini ulaganja.</w:t>
      </w:r>
    </w:p>
    <w:p w14:paraId="4C633F08" w14:textId="4ACBB8AF" w:rsidR="00AC0B4C" w:rsidRPr="00AC0B4C" w:rsidRDefault="00AC0B4C" w:rsidP="00AC0B4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Samostalna ulaganja koja obuhvaćaju troškove novog sustava navodnjavanja, </w:t>
      </w:r>
      <w:proofErr w:type="spellStart"/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antifrost</w:t>
      </w:r>
      <w:proofErr w:type="spellEnd"/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sustava, dronova, digitalnih alata, bez prijavljenog ulaganja u podizanje nasada vinograda prihvatljiva su u sklopu </w:t>
      </w:r>
      <w:r w:rsidR="004948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LAG</w:t>
      </w:r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E7D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„Adrion“ </w:t>
      </w:r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intervencij</w:t>
      </w:r>
      <w:r w:rsidR="004948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948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1.1.1</w:t>
      </w:r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uz ispunjavanje ostalih uvjeta </w:t>
      </w:r>
      <w:r w:rsidRPr="004F04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prihvatljivosti propisanih pravilnikom.</w:t>
      </w:r>
    </w:p>
    <w:p w14:paraId="1675E4CF" w14:textId="77777777" w:rsidR="00AC0B4C" w:rsidRPr="00AC0B4C" w:rsidRDefault="00AC0B4C" w:rsidP="00AC0B4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sklopu sektorske intervencije 58.1.b.01. Ulaganja prihvatljivi troškovi su stjecanje, izgradnja, poboljšanje nepokretne imovine odnosno objekta za proizvodnju vina, čuvanje, skladištenje i prodaju vina, kupnja novih strojeva i opreme za preradu te skladištenje grožđa i vina, obnova/modernizacija/opremanje infrastrukture objekta za prodaju i prezentaciju vina te opremanje laboratorija za kontrolu kvalitete proizvoda od grožđa i vina koji nisu prihvatljivi za sufinanciranje u sklopu ruralnih intervencija.</w:t>
      </w:r>
    </w:p>
    <w:p w14:paraId="40C668CD" w14:textId="5C665D8C" w:rsidR="00AC0B4C" w:rsidRPr="00AC0B4C" w:rsidRDefault="00494892" w:rsidP="00AC0B4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AC0B4C"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laganja u restrukturiranje postojećih vinograda za proizvodnju grožđa za vino nisu prihvatljiva za sufinanciranje u sklopu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LAG</w:t>
      </w:r>
      <w:r w:rsidR="00EE7D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„Adrion“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C0B4C"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intervencije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1.1.1.</w:t>
      </w:r>
      <w:r w:rsidR="00AC0B4C"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kao niti </w:t>
      </w:r>
      <w:r w:rsidR="00AC0B4C"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troškovi građenja i/ili opremanja objekata za proizvodnju vina, čuvanje, skladištenje i prodaju vina; </w:t>
      </w:r>
      <w:r w:rsidR="00AC0B4C" w:rsidRPr="00AC0B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kupnje novih strojeva i opreme za preradu te skladištenje grožđa za vino i vina; građenja i/ili opremanja objekata za prodaju i prezentaciju vina i opremanja laboratorija na gospodarstvu </w:t>
      </w:r>
    </w:p>
    <w:p w14:paraId="61B80EC2" w14:textId="77777777" w:rsidR="00AC0B4C" w:rsidRPr="00AC0B4C" w:rsidRDefault="00AC0B4C" w:rsidP="00AC0B4C">
      <w:pPr>
        <w:spacing w:after="200" w:line="276" w:lineRule="auto"/>
        <w:ind w:left="360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BAE1E5D" w14:textId="6D1B047C" w:rsidR="00AC0B4C" w:rsidRPr="00AC0B4C" w:rsidRDefault="00AC0B4C" w:rsidP="00AC0B4C">
      <w:pPr>
        <w:rPr>
          <w:rFonts w:ascii="Times New Roman" w:hAnsi="Times New Roman" w:cs="Times New Roman"/>
          <w:sz w:val="28"/>
          <w:szCs w:val="28"/>
        </w:rPr>
      </w:pPr>
    </w:p>
    <w:sectPr w:rsidR="00AC0B4C" w:rsidRPr="00AC0B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DA8CD" w14:textId="77777777" w:rsidR="000D1A04" w:rsidRDefault="000D1A04" w:rsidP="0019320D">
      <w:pPr>
        <w:spacing w:after="0" w:line="240" w:lineRule="auto"/>
      </w:pPr>
      <w:r>
        <w:separator/>
      </w:r>
    </w:p>
  </w:endnote>
  <w:endnote w:type="continuationSeparator" w:id="0">
    <w:p w14:paraId="3716E704" w14:textId="77777777" w:rsidR="000D1A04" w:rsidRDefault="000D1A04" w:rsidP="00193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240DF" w14:textId="77777777" w:rsidR="000D1A04" w:rsidRDefault="000D1A04" w:rsidP="0019320D">
      <w:pPr>
        <w:spacing w:after="0" w:line="240" w:lineRule="auto"/>
      </w:pPr>
      <w:r>
        <w:separator/>
      </w:r>
    </w:p>
  </w:footnote>
  <w:footnote w:type="continuationSeparator" w:id="0">
    <w:p w14:paraId="5109C4E5" w14:textId="77777777" w:rsidR="000D1A04" w:rsidRDefault="000D1A04" w:rsidP="00193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4AA29" w14:textId="68EE9B6C" w:rsidR="0019320D" w:rsidRDefault="0019320D" w:rsidP="0019320D">
    <w:pPr>
      <w:pStyle w:val="Zaglavlje"/>
      <w:jc w:val="center"/>
    </w:pPr>
    <w:r w:rsidRPr="00F12717">
      <w:rPr>
        <w:rFonts w:ascii="Calibri" w:eastAsia="Calibri" w:hAnsi="Calibri" w:cs="Times New Roman"/>
        <w:noProof/>
        <w:kern w:val="0"/>
        <w:lang w:eastAsia="hr-HR"/>
        <w14:ligatures w14:val="none"/>
      </w:rPr>
      <w:drawing>
        <wp:inline distT="0" distB="0" distL="0" distR="0" wp14:anchorId="7EE452C3" wp14:editId="1847FB7A">
          <wp:extent cx="4181475" cy="688044"/>
          <wp:effectExtent l="0" t="0" r="0" b="0"/>
          <wp:docPr id="1363299849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3236" cy="709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25951">
      <w:rPr>
        <w:noProof/>
        <w:lang w:eastAsia="hr-HR"/>
      </w:rPr>
      <w:drawing>
        <wp:inline distT="0" distB="0" distL="0" distR="0" wp14:anchorId="5EF18939" wp14:editId="5FBBC0A3">
          <wp:extent cx="1276350" cy="604247"/>
          <wp:effectExtent l="0" t="0" r="0" b="5715"/>
          <wp:docPr id="11920521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590" cy="612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5A9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A44AA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220BDA"/>
    <w:multiLevelType w:val="hybridMultilevel"/>
    <w:tmpl w:val="DE1C6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503558">
    <w:abstractNumId w:val="2"/>
  </w:num>
  <w:num w:numId="2" w16cid:durableId="536358279">
    <w:abstractNumId w:val="0"/>
  </w:num>
  <w:num w:numId="3" w16cid:durableId="211234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869"/>
    <w:rsid w:val="0006210F"/>
    <w:rsid w:val="000D1A04"/>
    <w:rsid w:val="0014544A"/>
    <w:rsid w:val="0019320D"/>
    <w:rsid w:val="00225951"/>
    <w:rsid w:val="002F3A1F"/>
    <w:rsid w:val="003538F8"/>
    <w:rsid w:val="00494892"/>
    <w:rsid w:val="004B23CC"/>
    <w:rsid w:val="004F048E"/>
    <w:rsid w:val="005F722E"/>
    <w:rsid w:val="006023FE"/>
    <w:rsid w:val="00734FBA"/>
    <w:rsid w:val="0076478A"/>
    <w:rsid w:val="0077362B"/>
    <w:rsid w:val="007F3843"/>
    <w:rsid w:val="00836D74"/>
    <w:rsid w:val="00932869"/>
    <w:rsid w:val="009845F2"/>
    <w:rsid w:val="009B6365"/>
    <w:rsid w:val="009D7127"/>
    <w:rsid w:val="00AC0B4C"/>
    <w:rsid w:val="00D75355"/>
    <w:rsid w:val="00E75515"/>
    <w:rsid w:val="00E84E4E"/>
    <w:rsid w:val="00EE7DFE"/>
    <w:rsid w:val="00E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999CB"/>
  <w15:chartTrackingRefBased/>
  <w15:docId w15:val="{630A6C55-6AB1-4D25-9643-814DC306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32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32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328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32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328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32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32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32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32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32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32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328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3286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3286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328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328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328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328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32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32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32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32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32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328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3286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3286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32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3286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32869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93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320D"/>
  </w:style>
  <w:style w:type="paragraph" w:styleId="Podnoje">
    <w:name w:val="footer"/>
    <w:basedOn w:val="Normal"/>
    <w:link w:val="PodnojeChar"/>
    <w:uiPriority w:val="99"/>
    <w:unhideWhenUsed/>
    <w:rsid w:val="00193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3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LAG ADRION</cp:lastModifiedBy>
  <cp:revision>3</cp:revision>
  <dcterms:created xsi:type="dcterms:W3CDTF">2025-11-27T09:00:00Z</dcterms:created>
  <dcterms:modified xsi:type="dcterms:W3CDTF">2025-11-27T09:01:00Z</dcterms:modified>
</cp:coreProperties>
</file>