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630"/>
        <w:tblW w:w="9351" w:type="dxa"/>
        <w:tblLook w:val="04A0" w:firstRow="1" w:lastRow="0" w:firstColumn="1" w:lastColumn="0" w:noHBand="0" w:noVBand="1"/>
      </w:tblPr>
      <w:tblGrid>
        <w:gridCol w:w="407"/>
        <w:gridCol w:w="8093"/>
        <w:gridCol w:w="851"/>
      </w:tblGrid>
      <w:tr w:rsidR="002E3644" w:rsidRPr="000C75E7" w14:paraId="3C55E2E9" w14:textId="77777777" w:rsidTr="002E3644">
        <w:trPr>
          <w:trHeight w:val="278"/>
        </w:trPr>
        <w:tc>
          <w:tcPr>
            <w:tcW w:w="8500" w:type="dxa"/>
            <w:gridSpan w:val="2"/>
            <w:shd w:val="clear" w:color="auto" w:fill="99CCFF"/>
          </w:tcPr>
          <w:p w14:paraId="41F78DCF" w14:textId="77777777" w:rsidR="002E3644" w:rsidRPr="000C75E7" w:rsidRDefault="002E3644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0C75E7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 xml:space="preserve">MJERE LOKALNE RAZVOJNE STRATEGIJE LAG – A </w:t>
            </w:r>
          </w:p>
        </w:tc>
        <w:tc>
          <w:tcPr>
            <w:tcW w:w="851" w:type="dxa"/>
            <w:shd w:val="clear" w:color="auto" w:fill="99CCFF"/>
          </w:tcPr>
          <w:p w14:paraId="51080934" w14:textId="77777777" w:rsidR="002E3644" w:rsidRPr="000C75E7" w:rsidRDefault="00D13AA2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3.2.1.</w:t>
            </w:r>
          </w:p>
        </w:tc>
      </w:tr>
      <w:tr w:rsidR="002E3644" w:rsidRPr="000C75E7" w14:paraId="5F7561CD" w14:textId="77777777" w:rsidTr="002E3644">
        <w:trPr>
          <w:trHeight w:val="278"/>
        </w:trPr>
        <w:tc>
          <w:tcPr>
            <w:tcW w:w="8500" w:type="dxa"/>
            <w:gridSpan w:val="2"/>
            <w:shd w:val="clear" w:color="auto" w:fill="99CCFF"/>
          </w:tcPr>
          <w:p w14:paraId="45EEE860" w14:textId="77777777" w:rsidR="002E3644" w:rsidRPr="000C75E7" w:rsidRDefault="002E3644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0C75E7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TIP OPERACIJE IZ PRR</w:t>
            </w:r>
          </w:p>
        </w:tc>
        <w:tc>
          <w:tcPr>
            <w:tcW w:w="851" w:type="dxa"/>
            <w:shd w:val="clear" w:color="auto" w:fill="99CCFF"/>
          </w:tcPr>
          <w:p w14:paraId="79557BA5" w14:textId="77777777" w:rsidR="002E3644" w:rsidRPr="000C75E7" w:rsidRDefault="00D13AA2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7.4.1.</w:t>
            </w:r>
          </w:p>
        </w:tc>
      </w:tr>
      <w:tr w:rsidR="002E3644" w:rsidRPr="00C24699" w14:paraId="7556E705" w14:textId="77777777" w:rsidTr="002E3644">
        <w:trPr>
          <w:trHeight w:val="278"/>
        </w:trPr>
        <w:tc>
          <w:tcPr>
            <w:tcW w:w="0" w:type="auto"/>
          </w:tcPr>
          <w:p w14:paraId="3535CEDD" w14:textId="77777777" w:rsidR="002E3644" w:rsidRPr="00C24699" w:rsidRDefault="002E3644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</w:t>
            </w: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.</w:t>
            </w:r>
          </w:p>
        </w:tc>
        <w:tc>
          <w:tcPr>
            <w:tcW w:w="8093" w:type="dxa"/>
            <w:shd w:val="clear" w:color="auto" w:fill="CCECFF"/>
          </w:tcPr>
          <w:p w14:paraId="6C4DC282" w14:textId="77777777" w:rsidR="002E3644" w:rsidRPr="00C24699" w:rsidRDefault="002E3644" w:rsidP="00492866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Doprinos poticanju razvoja zaleđa i drugih osobito nerazvijenih sredina</w:t>
            </w:r>
          </w:p>
        </w:tc>
        <w:tc>
          <w:tcPr>
            <w:tcW w:w="851" w:type="dxa"/>
            <w:shd w:val="clear" w:color="auto" w:fill="CCECFF"/>
          </w:tcPr>
          <w:p w14:paraId="7E2BE757" w14:textId="77777777" w:rsidR="002E3644" w:rsidRPr="00C24699" w:rsidRDefault="002E3644" w:rsidP="00492866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002962E5" w14:textId="77777777" w:rsidTr="002E3644">
        <w:trPr>
          <w:trHeight w:val="278"/>
        </w:trPr>
        <w:tc>
          <w:tcPr>
            <w:tcW w:w="0" w:type="auto"/>
          </w:tcPr>
          <w:p w14:paraId="21E992BE" w14:textId="77777777" w:rsidR="002E3644" w:rsidRDefault="002E3644" w:rsidP="00492866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8AF5A78" w14:textId="77777777" w:rsidR="002E3644" w:rsidRDefault="002E3644" w:rsidP="00492866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Projekt pridonosi poticanju razvoja jedne od sljedećih općina: Cista Provo, Lovreć, Proložac, Zmijavci, Runovići, Lokvičići, Podbablje, Zagvozd, Šestanovac, Zadvarje, Gradac i Podgora ili gradova, Imotski i Vrgorac ili dijelovi Dugog Rata, Omiša, Brela, Baške Vode i Tučepi iznad D 8 te naselja ispod 500 stanovnika</w:t>
            </w:r>
          </w:p>
        </w:tc>
        <w:tc>
          <w:tcPr>
            <w:tcW w:w="851" w:type="dxa"/>
          </w:tcPr>
          <w:p w14:paraId="1A2E601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0AC78C0F" w14:textId="77777777" w:rsidTr="002E3644">
        <w:trPr>
          <w:trHeight w:val="278"/>
        </w:trPr>
        <w:tc>
          <w:tcPr>
            <w:tcW w:w="0" w:type="auto"/>
          </w:tcPr>
          <w:p w14:paraId="4EC3AD6D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2</w:t>
            </w: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.</w:t>
            </w:r>
          </w:p>
        </w:tc>
        <w:tc>
          <w:tcPr>
            <w:tcW w:w="8093" w:type="dxa"/>
            <w:shd w:val="clear" w:color="auto" w:fill="CCECFF"/>
          </w:tcPr>
          <w:p w14:paraId="43E11E51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Otvaranje novih i očuvanje postojećih radnih mjesta</w:t>
            </w:r>
          </w:p>
        </w:tc>
        <w:tc>
          <w:tcPr>
            <w:tcW w:w="851" w:type="dxa"/>
            <w:shd w:val="clear" w:color="auto" w:fill="CCECFF"/>
          </w:tcPr>
          <w:p w14:paraId="2E54EAFC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76353651" w14:textId="77777777" w:rsidTr="002E3644">
        <w:trPr>
          <w:trHeight w:val="278"/>
        </w:trPr>
        <w:tc>
          <w:tcPr>
            <w:tcW w:w="0" w:type="auto"/>
          </w:tcPr>
          <w:p w14:paraId="2454CC01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642310D0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Za novootvorena i očuvana radna mjesta – najmanje 3 novozaposlena ili zapošljavanje osobe s invaliditetom (minimalno jedne)</w:t>
            </w:r>
          </w:p>
        </w:tc>
        <w:tc>
          <w:tcPr>
            <w:tcW w:w="851" w:type="dxa"/>
          </w:tcPr>
          <w:p w14:paraId="3048DC3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15</w:t>
            </w:r>
          </w:p>
        </w:tc>
      </w:tr>
      <w:tr w:rsidR="002E3644" w14:paraId="7CDFD1B7" w14:textId="77777777" w:rsidTr="002E3644">
        <w:trPr>
          <w:trHeight w:val="278"/>
        </w:trPr>
        <w:tc>
          <w:tcPr>
            <w:tcW w:w="0" w:type="auto"/>
          </w:tcPr>
          <w:p w14:paraId="7271C9CB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2576111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Za novootvorena i očuvana radna mjesta – najmanje 2 novozaposlena </w:t>
            </w:r>
          </w:p>
        </w:tc>
        <w:tc>
          <w:tcPr>
            <w:tcW w:w="851" w:type="dxa"/>
          </w:tcPr>
          <w:p w14:paraId="3D338771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:rsidRPr="00C24699" w14:paraId="1DDF0C08" w14:textId="77777777" w:rsidTr="002E3644">
        <w:trPr>
          <w:trHeight w:val="296"/>
        </w:trPr>
        <w:tc>
          <w:tcPr>
            <w:tcW w:w="0" w:type="auto"/>
          </w:tcPr>
          <w:p w14:paraId="317D4740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  <w:tc>
          <w:tcPr>
            <w:tcW w:w="8093" w:type="dxa"/>
          </w:tcPr>
          <w:p w14:paraId="2E234023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Za novootvorena i očuvana radna mjesta – najmanje 1 </w:t>
            </w:r>
          </w:p>
        </w:tc>
        <w:tc>
          <w:tcPr>
            <w:tcW w:w="851" w:type="dxa"/>
          </w:tcPr>
          <w:p w14:paraId="1960490C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506A1ED5" w14:textId="77777777" w:rsidTr="002E3644">
        <w:trPr>
          <w:trHeight w:val="296"/>
        </w:trPr>
        <w:tc>
          <w:tcPr>
            <w:tcW w:w="0" w:type="auto"/>
          </w:tcPr>
          <w:p w14:paraId="10DD4B00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093" w:type="dxa"/>
            <w:shd w:val="clear" w:color="auto" w:fill="CCECFF"/>
          </w:tcPr>
          <w:p w14:paraId="14930C67" w14:textId="77777777" w:rsidR="002E3644" w:rsidRPr="002E3644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2E3644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Utjecaj mjeren brojem korisnika</w:t>
            </w:r>
          </w:p>
        </w:tc>
        <w:tc>
          <w:tcPr>
            <w:tcW w:w="851" w:type="dxa"/>
            <w:shd w:val="clear" w:color="auto" w:fill="CCECFF"/>
          </w:tcPr>
          <w:p w14:paraId="684F973E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1E9D8B9B" w14:textId="77777777" w:rsidTr="002E3644">
        <w:trPr>
          <w:trHeight w:val="278"/>
        </w:trPr>
        <w:tc>
          <w:tcPr>
            <w:tcW w:w="0" w:type="auto"/>
          </w:tcPr>
          <w:p w14:paraId="122DAE25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7D7E6FF8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Novu infrastrukturu/uslugu koristit će više od 70 korisnika</w:t>
            </w:r>
          </w:p>
        </w:tc>
        <w:tc>
          <w:tcPr>
            <w:tcW w:w="851" w:type="dxa"/>
          </w:tcPr>
          <w:p w14:paraId="769A7593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14:paraId="76352933" w14:textId="77777777" w:rsidTr="002E3644">
        <w:trPr>
          <w:trHeight w:val="278"/>
        </w:trPr>
        <w:tc>
          <w:tcPr>
            <w:tcW w:w="0" w:type="auto"/>
          </w:tcPr>
          <w:p w14:paraId="1D016EE3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5B07A912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Novu infrastrukturu/uslugu koristit će između 20 i 70 korisnika</w:t>
            </w:r>
          </w:p>
        </w:tc>
        <w:tc>
          <w:tcPr>
            <w:tcW w:w="851" w:type="dxa"/>
          </w:tcPr>
          <w:p w14:paraId="4FEDF0A1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65205480" w14:textId="77777777" w:rsidTr="002E3644">
        <w:trPr>
          <w:trHeight w:val="278"/>
        </w:trPr>
        <w:tc>
          <w:tcPr>
            <w:tcW w:w="0" w:type="auto"/>
          </w:tcPr>
          <w:p w14:paraId="707A8C20" w14:textId="77777777" w:rsidR="002E3644" w:rsidRPr="00C24699" w:rsidRDefault="00D13AA2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093" w:type="dxa"/>
            <w:shd w:val="clear" w:color="auto" w:fill="CCECFF"/>
          </w:tcPr>
          <w:p w14:paraId="285E988B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Spremnost projekta</w:t>
            </w:r>
          </w:p>
        </w:tc>
        <w:tc>
          <w:tcPr>
            <w:tcW w:w="851" w:type="dxa"/>
            <w:shd w:val="clear" w:color="auto" w:fill="CCECFF"/>
          </w:tcPr>
          <w:p w14:paraId="500EDC25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:rsidRPr="000D7C47" w14:paraId="5A6ECF58" w14:textId="77777777" w:rsidTr="002E3644">
        <w:trPr>
          <w:trHeight w:val="278"/>
        </w:trPr>
        <w:tc>
          <w:tcPr>
            <w:tcW w:w="0" w:type="auto"/>
          </w:tcPr>
          <w:p w14:paraId="2456A345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2AC24FB5" w14:textId="77777777" w:rsidR="002E3644" w:rsidRPr="000D7C47" w:rsidRDefault="002E3644" w:rsidP="002E3644">
            <w:pPr>
              <w:pStyle w:val="Odlomakpopisa"/>
              <w:ind w:left="43"/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U prvoj fazi natječaja priložena je pravomoćna građevinska dozvola (ukoliko je potrebna)</w:t>
            </w:r>
          </w:p>
        </w:tc>
        <w:tc>
          <w:tcPr>
            <w:tcW w:w="851" w:type="dxa"/>
          </w:tcPr>
          <w:p w14:paraId="7B788AB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:rsidRPr="000D7C47" w14:paraId="642DDC6A" w14:textId="77777777" w:rsidTr="002E3644">
        <w:trPr>
          <w:trHeight w:val="278"/>
        </w:trPr>
        <w:tc>
          <w:tcPr>
            <w:tcW w:w="0" w:type="auto"/>
          </w:tcPr>
          <w:p w14:paraId="681551C9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4EF7EAA" w14:textId="77777777" w:rsidR="002E3644" w:rsidRPr="000D7C47" w:rsidRDefault="002E3644" w:rsidP="002E3644">
            <w:pPr>
              <w:pStyle w:val="Odlomakpopisa"/>
              <w:ind w:left="43"/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U prvoj fazi natječaja priložen je glavni projekt (a građevinska dozvola, ukoliko je potrebna bit će priložena u drugoj fazi natječaja)</w:t>
            </w:r>
          </w:p>
        </w:tc>
        <w:tc>
          <w:tcPr>
            <w:tcW w:w="851" w:type="dxa"/>
          </w:tcPr>
          <w:p w14:paraId="42DAEFC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19172DDC" w14:textId="77777777" w:rsidTr="002E3644">
        <w:trPr>
          <w:trHeight w:val="278"/>
        </w:trPr>
        <w:tc>
          <w:tcPr>
            <w:tcW w:w="0" w:type="auto"/>
          </w:tcPr>
          <w:p w14:paraId="4E6DCC03" w14:textId="77777777" w:rsidR="002E3644" w:rsidRPr="00C24699" w:rsidRDefault="00D13AA2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5.</w:t>
            </w:r>
          </w:p>
        </w:tc>
        <w:tc>
          <w:tcPr>
            <w:tcW w:w="8093" w:type="dxa"/>
            <w:shd w:val="clear" w:color="auto" w:fill="CCECFF"/>
          </w:tcPr>
          <w:p w14:paraId="65387271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Doprinosi kvaliteti života sadržajima društvenih djelatnosti</w:t>
            </w:r>
          </w:p>
        </w:tc>
        <w:tc>
          <w:tcPr>
            <w:tcW w:w="851" w:type="dxa"/>
            <w:shd w:val="clear" w:color="auto" w:fill="CCECFF"/>
          </w:tcPr>
          <w:p w14:paraId="418B53B5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61B90429" w14:textId="77777777" w:rsidTr="002E3644">
        <w:trPr>
          <w:trHeight w:val="296"/>
        </w:trPr>
        <w:tc>
          <w:tcPr>
            <w:tcW w:w="0" w:type="auto"/>
          </w:tcPr>
          <w:p w14:paraId="29470200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242492DE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Ulaganje u građevine za ostvarivanje organizirane njege, odgoja, obrazovanja i zaštite djece do polaska u osnovnu školu do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  <w:u w:val="single"/>
              </w:rPr>
              <w:t>iznosa jedinične cijene,</w:t>
            </w:r>
          </w:p>
          <w:p w14:paraId="2A231276" w14:textId="77777777" w:rsidR="00D13AA2" w:rsidRDefault="00D13AA2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7FB1B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15</w:t>
            </w:r>
          </w:p>
        </w:tc>
      </w:tr>
      <w:tr w:rsidR="002E3644" w14:paraId="2543DF0B" w14:textId="77777777" w:rsidTr="002E3644">
        <w:trPr>
          <w:trHeight w:val="278"/>
        </w:trPr>
        <w:tc>
          <w:tcPr>
            <w:tcW w:w="0" w:type="auto"/>
          </w:tcPr>
          <w:p w14:paraId="11E1926E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5BB5144" w14:textId="77777777" w:rsidR="002E3644" w:rsidRDefault="00D13AA2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Ulaganje u vatrogasni dom, društveni dom, kulturni centar, tržnicu, dječje igralište</w:t>
            </w:r>
          </w:p>
        </w:tc>
        <w:tc>
          <w:tcPr>
            <w:tcW w:w="851" w:type="dxa"/>
          </w:tcPr>
          <w:p w14:paraId="4E29663C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14:paraId="64BD554C" w14:textId="77777777" w:rsidTr="002E3644">
        <w:trPr>
          <w:trHeight w:val="278"/>
        </w:trPr>
        <w:tc>
          <w:tcPr>
            <w:tcW w:w="0" w:type="auto"/>
          </w:tcPr>
          <w:p w14:paraId="37D07B45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5415CA7A" w14:textId="77777777" w:rsidR="002E3644" w:rsidRDefault="00D13AA2" w:rsidP="00D13AA2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Ulaganje u planinarski dom i sklonište, turistički informativni centar, sportsku građevinu, objekti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za slatkovodni sportski ribolov, rekreacijske zone na rijekama i jezerima, biciklističku stazu (koja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nije sastavni dio ceste), tematski put i park, javnu zelenu površinu (park i slično), pješačku stazu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(koja nije sastavni dio ceste), pješačku zonu, otvoreni odvodni kanal (koji nije sastavni dio ceste),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groblje, javnu prometnu površinu (trg, pothodnik, nadvožnjak, javne stube i prolaz koji nisu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sastavni dio ceste).</w:t>
            </w:r>
          </w:p>
        </w:tc>
        <w:tc>
          <w:tcPr>
            <w:tcW w:w="851" w:type="dxa"/>
          </w:tcPr>
          <w:p w14:paraId="63057DF0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5A3BB9BA" w14:textId="77777777" w:rsidTr="002E3644">
        <w:trPr>
          <w:trHeight w:val="278"/>
        </w:trPr>
        <w:tc>
          <w:tcPr>
            <w:tcW w:w="0" w:type="auto"/>
          </w:tcPr>
          <w:p w14:paraId="4E7E4124" w14:textId="77777777" w:rsidR="002E3644" w:rsidRPr="00C24699" w:rsidRDefault="00D13AA2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6.</w:t>
            </w:r>
          </w:p>
        </w:tc>
        <w:tc>
          <w:tcPr>
            <w:tcW w:w="8093" w:type="dxa"/>
            <w:shd w:val="clear" w:color="auto" w:fill="CCECFF"/>
          </w:tcPr>
          <w:p w14:paraId="5C95D792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Dosadašnje korištenje EAFRD – a</w:t>
            </w:r>
          </w:p>
        </w:tc>
        <w:tc>
          <w:tcPr>
            <w:tcW w:w="851" w:type="dxa"/>
            <w:shd w:val="clear" w:color="auto" w:fill="CCECFF"/>
          </w:tcPr>
          <w:p w14:paraId="7B7BDF8A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1ED43984" w14:textId="77777777" w:rsidTr="002E3644">
        <w:trPr>
          <w:trHeight w:val="278"/>
        </w:trPr>
        <w:tc>
          <w:tcPr>
            <w:tcW w:w="0" w:type="auto"/>
          </w:tcPr>
          <w:p w14:paraId="4050F381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7C9A7B05" w14:textId="75C85A22" w:rsidR="002E3644" w:rsidRDefault="00C16485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Korisnik je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sudjelova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o 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>u natječajima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,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ali n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ije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ostvari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o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poticaj i 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korisnik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ni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je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sudjelova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o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u natječajima</w:t>
            </w:r>
          </w:p>
        </w:tc>
        <w:tc>
          <w:tcPr>
            <w:tcW w:w="851" w:type="dxa"/>
          </w:tcPr>
          <w:p w14:paraId="4D6E62E1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1670E929" w14:textId="77777777" w:rsidTr="002E3644">
        <w:trPr>
          <w:trHeight w:val="278"/>
        </w:trPr>
        <w:tc>
          <w:tcPr>
            <w:tcW w:w="0" w:type="auto"/>
          </w:tcPr>
          <w:p w14:paraId="4EAF4662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  <w:shd w:val="clear" w:color="auto" w:fill="99CCFF"/>
          </w:tcPr>
          <w:p w14:paraId="352BF7BE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NAJVEĆI MOGUĆI BROJ BODOVA</w:t>
            </w:r>
          </w:p>
        </w:tc>
        <w:tc>
          <w:tcPr>
            <w:tcW w:w="851" w:type="dxa"/>
            <w:shd w:val="clear" w:color="auto" w:fill="99CCFF"/>
          </w:tcPr>
          <w:p w14:paraId="72CBFB34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60</w:t>
            </w:r>
          </w:p>
        </w:tc>
      </w:tr>
      <w:tr w:rsidR="002E3644" w:rsidRPr="00C24699" w14:paraId="1F7E531B" w14:textId="77777777" w:rsidTr="002E3644">
        <w:trPr>
          <w:trHeight w:val="278"/>
        </w:trPr>
        <w:tc>
          <w:tcPr>
            <w:tcW w:w="0" w:type="auto"/>
          </w:tcPr>
          <w:p w14:paraId="04AD99B2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  <w:shd w:val="clear" w:color="auto" w:fill="99CCFF"/>
          </w:tcPr>
          <w:p w14:paraId="12EE064D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PRAG PROLAZNOSTI</w:t>
            </w:r>
          </w:p>
        </w:tc>
        <w:tc>
          <w:tcPr>
            <w:tcW w:w="851" w:type="dxa"/>
            <w:shd w:val="clear" w:color="auto" w:fill="99CCFF"/>
          </w:tcPr>
          <w:p w14:paraId="50747A22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167C8" w:rsidRPr="004167C8" w14:paraId="45756B0D" w14:textId="77777777" w:rsidTr="009B1EF5">
        <w:tc>
          <w:tcPr>
            <w:tcW w:w="2160" w:type="dxa"/>
            <w:shd w:val="clear" w:color="auto" w:fill="auto"/>
          </w:tcPr>
          <w:p w14:paraId="23DBE1E2" w14:textId="39D40F44" w:rsidR="004167C8" w:rsidRPr="004167C8" w:rsidRDefault="004167C8" w:rsidP="004167C8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napToGrid w:val="0"/>
              </w:rPr>
            </w:pPr>
            <w:r w:rsidRPr="004167C8">
              <w:rPr>
                <w:rFonts w:ascii="Calibri" w:eastAsia="Calibri" w:hAnsi="Calibri"/>
                <w:b/>
              </w:rPr>
              <w:t>Prilog I</w:t>
            </w:r>
            <w:r>
              <w:rPr>
                <w:rFonts w:ascii="Calibri" w:eastAsia="Calibri" w:hAnsi="Calibri"/>
                <w:b/>
              </w:rPr>
              <w:t>X</w:t>
            </w:r>
            <w:r w:rsidRPr="004167C8">
              <w:rPr>
                <w:rFonts w:ascii="Calibri" w:eastAsia="Calibri" w:hAnsi="Calibri"/>
                <w:b/>
              </w:rPr>
              <w:t>.</w:t>
            </w:r>
          </w:p>
        </w:tc>
      </w:tr>
    </w:tbl>
    <w:p w14:paraId="4C46E3BD" w14:textId="77777777" w:rsidR="006112B2" w:rsidRDefault="006112B2"/>
    <w:p w14:paraId="569B9496" w14:textId="77777777" w:rsidR="006112B2" w:rsidRPr="006112B2" w:rsidRDefault="006112B2" w:rsidP="006112B2"/>
    <w:p w14:paraId="29A030E9" w14:textId="77777777" w:rsidR="006112B2" w:rsidRPr="006112B2" w:rsidRDefault="006112B2" w:rsidP="006112B2"/>
    <w:p w14:paraId="01811C23" w14:textId="77777777" w:rsidR="006112B2" w:rsidRPr="006112B2" w:rsidRDefault="006112B2" w:rsidP="006112B2">
      <w:pPr>
        <w:rPr>
          <w:u w:val="single"/>
        </w:rPr>
      </w:pPr>
    </w:p>
    <w:p w14:paraId="512114C0" w14:textId="77777777" w:rsidR="006112B2" w:rsidRPr="006112B2" w:rsidRDefault="006112B2" w:rsidP="006112B2">
      <w:pPr>
        <w:rPr>
          <w:u w:val="single"/>
        </w:rPr>
      </w:pPr>
    </w:p>
    <w:p w14:paraId="7D25DFC4" w14:textId="77777777" w:rsidR="006112B2" w:rsidRPr="006112B2" w:rsidRDefault="006112B2" w:rsidP="006112B2">
      <w:pPr>
        <w:rPr>
          <w:u w:val="single"/>
        </w:rPr>
      </w:pPr>
      <w:r w:rsidRPr="006112B2">
        <w:rPr>
          <w:u w:val="single"/>
        </w:rPr>
        <w:t>POJAŠNJENJA KRITERIJA</w:t>
      </w:r>
    </w:p>
    <w:p w14:paraId="31065B97" w14:textId="77777777" w:rsidR="006112B2" w:rsidRDefault="006112B2" w:rsidP="006112B2"/>
    <w:p w14:paraId="5BF46D38" w14:textId="77777777" w:rsidR="006112B2" w:rsidRDefault="006112B2" w:rsidP="006112B2">
      <w:pPr>
        <w:rPr>
          <w:b/>
        </w:rPr>
      </w:pPr>
      <w:r w:rsidRPr="006112B2">
        <w:rPr>
          <w:b/>
        </w:rPr>
        <w:t>Kriterij odabira broj 1</w:t>
      </w:r>
    </w:p>
    <w:p w14:paraId="4B0EF47B" w14:textId="77777777" w:rsidR="00D34721" w:rsidRDefault="00D34721" w:rsidP="006112B2">
      <w:pPr>
        <w:rPr>
          <w:b/>
        </w:rPr>
      </w:pPr>
    </w:p>
    <w:p w14:paraId="17C5E52F" w14:textId="77777777" w:rsidR="006112B2" w:rsidRPr="006112B2" w:rsidRDefault="006112B2" w:rsidP="006112B2"/>
    <w:p w14:paraId="1DF5EF07" w14:textId="35AD594C" w:rsidR="00D34721" w:rsidRPr="00D34721" w:rsidRDefault="006112B2" w:rsidP="00D34721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Da bi </w:t>
      </w:r>
      <w:r w:rsidR="00C3619D">
        <w:rPr>
          <w:i/>
        </w:rPr>
        <w:t>nositelj projekta</w:t>
      </w:r>
      <w:r w:rsidRPr="006112B2">
        <w:rPr>
          <w:i/>
        </w:rPr>
        <w:t xml:space="preserve"> ostvario bodove po ovom kriteriju mora imati </w:t>
      </w:r>
      <w:r w:rsidR="00BA53DA">
        <w:rPr>
          <w:i/>
        </w:rPr>
        <w:t>sjedište ili provoditi projekt</w:t>
      </w:r>
      <w:r w:rsidRPr="006112B2">
        <w:rPr>
          <w:i/>
        </w:rPr>
        <w:t xml:space="preserve"> na području neke od navedenih općina ili gradova</w:t>
      </w:r>
      <w:r w:rsidR="00D34721" w:rsidRPr="00D34721">
        <w:t xml:space="preserve"> </w:t>
      </w:r>
      <w:r w:rsidR="00D34721" w:rsidRPr="00D34721">
        <w:rPr>
          <w:i/>
        </w:rPr>
        <w:t>Cista Provo, Lovreć, Proložac, Zmijavci, Runovići, Lokvičići,</w:t>
      </w:r>
    </w:p>
    <w:p w14:paraId="7EDFA6CC" w14:textId="77777777" w:rsidR="00BA53DA" w:rsidRDefault="00D34721" w:rsidP="00D34721">
      <w:pPr>
        <w:tabs>
          <w:tab w:val="left" w:pos="6900"/>
        </w:tabs>
        <w:jc w:val="both"/>
        <w:rPr>
          <w:i/>
        </w:rPr>
      </w:pPr>
      <w:r w:rsidRPr="00D34721">
        <w:rPr>
          <w:i/>
        </w:rPr>
        <w:t>Podbablje, Zagvozd, Šestanovac, Zadvarje, Imotski, Vrgorac, Gradac i Podgora</w:t>
      </w:r>
      <w:r>
        <w:rPr>
          <w:i/>
        </w:rPr>
        <w:t xml:space="preserve"> </w:t>
      </w:r>
      <w:r w:rsidR="006112B2" w:rsidRPr="006112B2">
        <w:rPr>
          <w:i/>
        </w:rPr>
        <w:t>,odnosno na dijelovima općina ili gradova</w:t>
      </w:r>
      <w:r>
        <w:rPr>
          <w:i/>
        </w:rPr>
        <w:t xml:space="preserve"> </w:t>
      </w:r>
      <w:r w:rsidRPr="00D34721">
        <w:rPr>
          <w:i/>
        </w:rPr>
        <w:t xml:space="preserve">Dugog </w:t>
      </w:r>
      <w:r>
        <w:rPr>
          <w:i/>
        </w:rPr>
        <w:t>R</w:t>
      </w:r>
      <w:r w:rsidRPr="00D34721">
        <w:rPr>
          <w:i/>
        </w:rPr>
        <w:t>ata, Omiša, Brela, Baške Vode i Tučepi</w:t>
      </w:r>
      <w:r w:rsidR="006112B2" w:rsidRPr="006112B2">
        <w:rPr>
          <w:i/>
        </w:rPr>
        <w:t xml:space="preserve"> koji se nalaze iznad D8</w:t>
      </w:r>
      <w:r w:rsidRPr="00D34721">
        <w:t xml:space="preserve"> </w:t>
      </w:r>
      <w:r w:rsidRPr="00D34721">
        <w:rPr>
          <w:i/>
        </w:rPr>
        <w:t>kao i iz svih naselja ispod 500 stanovnika.</w:t>
      </w:r>
      <w:r>
        <w:rPr>
          <w:i/>
        </w:rPr>
        <w:t xml:space="preserve">  </w:t>
      </w:r>
      <w:r w:rsidR="006112B2" w:rsidRPr="006112B2">
        <w:rPr>
          <w:i/>
        </w:rPr>
        <w:t xml:space="preserve"> </w:t>
      </w:r>
      <w:r w:rsidR="00BA53DA">
        <w:rPr>
          <w:i/>
        </w:rPr>
        <w:t>.</w:t>
      </w:r>
    </w:p>
    <w:p w14:paraId="650ED658" w14:textId="77777777" w:rsidR="00BA53DA" w:rsidRDefault="00BA53DA" w:rsidP="006112B2">
      <w:pPr>
        <w:tabs>
          <w:tab w:val="left" w:pos="6900"/>
        </w:tabs>
        <w:jc w:val="both"/>
        <w:rPr>
          <w:b/>
        </w:rPr>
      </w:pPr>
    </w:p>
    <w:p w14:paraId="0541E017" w14:textId="77777777" w:rsidR="006112B2" w:rsidRDefault="006112B2" w:rsidP="006112B2">
      <w:pPr>
        <w:tabs>
          <w:tab w:val="left" w:pos="6900"/>
        </w:tabs>
        <w:jc w:val="both"/>
        <w:rPr>
          <w:b/>
        </w:rPr>
      </w:pPr>
      <w:r w:rsidRPr="00BC5526">
        <w:rPr>
          <w:b/>
        </w:rPr>
        <w:lastRenderedPageBreak/>
        <w:t>Kriterij odabira broj 2</w:t>
      </w:r>
    </w:p>
    <w:p w14:paraId="4B3E77F8" w14:textId="77777777" w:rsidR="00BA53DA" w:rsidRPr="00BC5526" w:rsidRDefault="00BA53DA" w:rsidP="006112B2">
      <w:pPr>
        <w:tabs>
          <w:tab w:val="left" w:pos="6900"/>
        </w:tabs>
        <w:jc w:val="both"/>
        <w:rPr>
          <w:b/>
        </w:rPr>
      </w:pPr>
    </w:p>
    <w:p w14:paraId="368D45FA" w14:textId="45E4B247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Na temelju podataka iz </w:t>
      </w:r>
      <w:r w:rsidR="00764A1C">
        <w:rPr>
          <w:i/>
        </w:rPr>
        <w:t>Prijavnog obrasca</w:t>
      </w:r>
      <w:r w:rsidRPr="006112B2">
        <w:rPr>
          <w:i/>
        </w:rPr>
        <w:t xml:space="preserve"> boduje se doprinos projekta novome zapošljavanju</w:t>
      </w:r>
      <w:r w:rsidR="00BC5526">
        <w:rPr>
          <w:i/>
        </w:rPr>
        <w:t xml:space="preserve"> odnosno očuvanju radnih mjesta</w:t>
      </w:r>
      <w:r w:rsidRPr="006112B2">
        <w:rPr>
          <w:i/>
        </w:rPr>
        <w:t xml:space="preserve">. U obzir se uzima planirani broj zaposlenih koje će imati </w:t>
      </w:r>
      <w:r w:rsidR="00BC5526">
        <w:rPr>
          <w:i/>
        </w:rPr>
        <w:t xml:space="preserve">objekt koji se prijavljuje na natječaj </w:t>
      </w:r>
      <w:r w:rsidRPr="006112B2">
        <w:rPr>
          <w:i/>
        </w:rPr>
        <w:t>na dan koji odgovara roku od 5 godina od konačne isplate. U obzir se uzimaju novozaposleni koji su zaposleni  nakon dana prijave na natječaj.</w:t>
      </w:r>
    </w:p>
    <w:p w14:paraId="64C25C56" w14:textId="77777777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</w:p>
    <w:p w14:paraId="0F5D4B40" w14:textId="4FA78479" w:rsid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POJAŠNJENJE: U svrhu ostvarivanja bodova po ovom kriteriju </w:t>
      </w:r>
      <w:r w:rsidR="00C3619D">
        <w:rPr>
          <w:i/>
        </w:rPr>
        <w:t>nositelj projekta</w:t>
      </w:r>
      <w:r w:rsidRPr="006112B2">
        <w:rPr>
          <w:i/>
        </w:rPr>
        <w:t xml:space="preserve"> mora dokazati da će projektom (prijavljenim ulaganjem) biti novostvoreno jedno radno mjesto</w:t>
      </w:r>
      <w:r w:rsidR="009F25B5">
        <w:rPr>
          <w:i/>
        </w:rPr>
        <w:t>, odnosno očuvana postojeća radna mjesta.</w:t>
      </w:r>
      <w:r w:rsidR="00BC5526">
        <w:rPr>
          <w:i/>
        </w:rPr>
        <w:t xml:space="preserve">. </w:t>
      </w:r>
      <w:r w:rsidRPr="006112B2">
        <w:rPr>
          <w:i/>
        </w:rPr>
        <w:t xml:space="preserve">Bodovi se dodjeljuju na temelju podataka koje korisnik navodi u </w:t>
      </w:r>
      <w:r w:rsidR="00764A1C">
        <w:rPr>
          <w:i/>
        </w:rPr>
        <w:t>prijavnom obrascu.</w:t>
      </w:r>
      <w:r w:rsidRPr="006112B2">
        <w:rPr>
          <w:i/>
        </w:rPr>
        <w:t xml:space="preserve"> </w:t>
      </w:r>
    </w:p>
    <w:p w14:paraId="091CA155" w14:textId="71982F1F" w:rsidR="00BC5526" w:rsidRDefault="00FD4A73" w:rsidP="006112B2">
      <w:pPr>
        <w:tabs>
          <w:tab w:val="left" w:pos="6900"/>
        </w:tabs>
        <w:jc w:val="both"/>
        <w:rPr>
          <w:i/>
        </w:rPr>
      </w:pPr>
      <w:r>
        <w:rPr>
          <w:i/>
        </w:rPr>
        <w:t>Jednim radnim mjestom smatra se 1 novozaposlena osoba prema godišnjim satima rada (1 zaposlenik na puno radno vrijeme ili više osoba na nepuno radno vrijeme čiji zbroj radnih sati na godišnjoj razini čini 1 zaposlenika).</w:t>
      </w:r>
    </w:p>
    <w:p w14:paraId="7654B696" w14:textId="77777777" w:rsidR="00764A1C" w:rsidRPr="006112B2" w:rsidRDefault="00764A1C" w:rsidP="006112B2">
      <w:pPr>
        <w:tabs>
          <w:tab w:val="left" w:pos="6900"/>
        </w:tabs>
        <w:jc w:val="both"/>
        <w:rPr>
          <w:i/>
        </w:rPr>
      </w:pPr>
    </w:p>
    <w:p w14:paraId="2A65ED82" w14:textId="38D7F5C8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b/>
          <w:i/>
        </w:rPr>
        <w:t>Ukoliko provedba aktivnosti ne dovodi do zapošljavanja</w:t>
      </w:r>
      <w:r w:rsidR="00764A1C">
        <w:rPr>
          <w:b/>
          <w:i/>
        </w:rPr>
        <w:t>, odnosno očuvanja radnih mjesta</w:t>
      </w:r>
      <w:r w:rsidRPr="006112B2">
        <w:rPr>
          <w:b/>
          <w:i/>
        </w:rPr>
        <w:t xml:space="preserve"> – </w:t>
      </w:r>
      <w:r w:rsidR="00C3619D">
        <w:rPr>
          <w:i/>
        </w:rPr>
        <w:t xml:space="preserve">nositelj projekta </w:t>
      </w:r>
      <w:r w:rsidRPr="006112B2">
        <w:rPr>
          <w:i/>
        </w:rPr>
        <w:t>ne ostvaruje bodove po ovom kriteriju.</w:t>
      </w:r>
    </w:p>
    <w:p w14:paraId="23554D79" w14:textId="77777777" w:rsidR="006112B2" w:rsidRPr="006112B2" w:rsidRDefault="006112B2" w:rsidP="006112B2">
      <w:pPr>
        <w:tabs>
          <w:tab w:val="left" w:pos="6900"/>
        </w:tabs>
        <w:jc w:val="both"/>
        <w:rPr>
          <w:b/>
        </w:rPr>
      </w:pPr>
    </w:p>
    <w:p w14:paraId="1A89EC1B" w14:textId="77777777" w:rsidR="006112B2" w:rsidRDefault="006112B2" w:rsidP="006112B2">
      <w:pPr>
        <w:tabs>
          <w:tab w:val="left" w:pos="6900"/>
        </w:tabs>
        <w:jc w:val="both"/>
        <w:rPr>
          <w:b/>
        </w:rPr>
      </w:pPr>
      <w:r w:rsidRPr="006112B2">
        <w:rPr>
          <w:b/>
        </w:rPr>
        <w:t>Kriterij odabira broj 3</w:t>
      </w:r>
    </w:p>
    <w:p w14:paraId="383396C9" w14:textId="77777777" w:rsidR="006112B2" w:rsidRDefault="006112B2" w:rsidP="006112B2">
      <w:pPr>
        <w:tabs>
          <w:tab w:val="left" w:pos="6900"/>
        </w:tabs>
        <w:jc w:val="both"/>
        <w:rPr>
          <w:b/>
        </w:rPr>
      </w:pPr>
    </w:p>
    <w:p w14:paraId="690B2200" w14:textId="22D3747D" w:rsidR="000F61C5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Da bi </w:t>
      </w:r>
      <w:r w:rsidR="00C3619D">
        <w:rPr>
          <w:i/>
        </w:rPr>
        <w:t>nositelj projekta</w:t>
      </w:r>
      <w:r w:rsidRPr="006112B2">
        <w:rPr>
          <w:i/>
        </w:rPr>
        <w:t xml:space="preserve"> ostvario bodove po navedenom kriteriju infrastrukturni objekt odnosno uslugu koja se pruža u istom mora koristiti minimalno 20 korisnika.</w:t>
      </w:r>
      <w:r w:rsidR="00BA53DA">
        <w:rPr>
          <w:i/>
        </w:rPr>
        <w:t xml:space="preserve"> </w:t>
      </w:r>
    </w:p>
    <w:p w14:paraId="6B12E0AA" w14:textId="77777777" w:rsidR="000F61C5" w:rsidRDefault="000F61C5" w:rsidP="006112B2">
      <w:pPr>
        <w:tabs>
          <w:tab w:val="left" w:pos="6900"/>
        </w:tabs>
        <w:jc w:val="both"/>
        <w:rPr>
          <w:i/>
        </w:rPr>
      </w:pPr>
    </w:p>
    <w:p w14:paraId="2E2C61BB" w14:textId="280ED436" w:rsidR="006112B2" w:rsidRDefault="000F61C5" w:rsidP="006112B2">
      <w:pPr>
        <w:tabs>
          <w:tab w:val="left" w:pos="6900"/>
        </w:tabs>
        <w:jc w:val="both"/>
        <w:rPr>
          <w:i/>
        </w:rPr>
      </w:pPr>
      <w:r>
        <w:rPr>
          <w:i/>
        </w:rPr>
        <w:t>POJAŠNJENJE: D</w:t>
      </w:r>
      <w:r w:rsidR="00BA53DA">
        <w:rPr>
          <w:i/>
        </w:rPr>
        <w:t xml:space="preserve">a bi </w:t>
      </w:r>
      <w:r w:rsidR="00C3619D">
        <w:rPr>
          <w:i/>
        </w:rPr>
        <w:t>nositelj projekta</w:t>
      </w:r>
      <w:r w:rsidR="00BA53DA">
        <w:rPr>
          <w:i/>
        </w:rPr>
        <w:t xml:space="preserve"> dokazao da će navedeno koristiti minimalno 20 korisnika kao dokaz treba dostaviti Ugovor ili drugi akt o korištenju (zapisnik sa sjednica i sl.) potpisan sa udrugama i drugim organizacijama, koji će obavljati ili obavljaju aktivnosti odnosno koriste ili će koristit usluge iz aktivnosti koje proizlaze iz ovog projekta.</w:t>
      </w:r>
      <w:r w:rsidR="00030619">
        <w:rPr>
          <w:i/>
        </w:rPr>
        <w:t xml:space="preserve"> </w:t>
      </w:r>
    </w:p>
    <w:p w14:paraId="2FC8FDAB" w14:textId="7C06222F" w:rsidR="000F61C5" w:rsidRDefault="000F61C5" w:rsidP="006112B2">
      <w:pPr>
        <w:tabs>
          <w:tab w:val="left" w:pos="6900"/>
        </w:tabs>
        <w:jc w:val="both"/>
        <w:rPr>
          <w:i/>
        </w:rPr>
      </w:pPr>
      <w:r>
        <w:rPr>
          <w:i/>
        </w:rPr>
        <w:t>U slučaju da se radi o otvorenoj javnoj površini (trg, kanal, tržnica, park i sl.) potrebno je dostaviti izvod DZS o broju stanovnika naselja u kojem se nalazi.</w:t>
      </w:r>
    </w:p>
    <w:p w14:paraId="20763287" w14:textId="77777777" w:rsidR="000F61C5" w:rsidRPr="006112B2" w:rsidRDefault="000F61C5" w:rsidP="006112B2">
      <w:pPr>
        <w:tabs>
          <w:tab w:val="left" w:pos="6900"/>
        </w:tabs>
        <w:jc w:val="both"/>
        <w:rPr>
          <w:i/>
        </w:rPr>
      </w:pPr>
    </w:p>
    <w:p w14:paraId="77AE0C0F" w14:textId="77777777" w:rsidR="006112B2" w:rsidRDefault="00BA53DA" w:rsidP="006112B2">
      <w:pPr>
        <w:tabs>
          <w:tab w:val="left" w:pos="6900"/>
        </w:tabs>
        <w:jc w:val="both"/>
      </w:pPr>
      <w:r>
        <w:t xml:space="preserve"> </w:t>
      </w:r>
    </w:p>
    <w:p w14:paraId="6B11A670" w14:textId="77777777" w:rsidR="006112B2" w:rsidRPr="006112B2" w:rsidRDefault="006112B2" w:rsidP="006112B2">
      <w:pPr>
        <w:tabs>
          <w:tab w:val="left" w:pos="6900"/>
        </w:tabs>
        <w:jc w:val="both"/>
        <w:rPr>
          <w:b/>
        </w:rPr>
      </w:pPr>
      <w:r w:rsidRPr="006112B2">
        <w:rPr>
          <w:b/>
        </w:rPr>
        <w:t>Kriterij odabira broj 4</w:t>
      </w:r>
    </w:p>
    <w:p w14:paraId="1F2B14CB" w14:textId="77777777" w:rsidR="006112B2" w:rsidRDefault="006112B2" w:rsidP="006112B2">
      <w:pPr>
        <w:tabs>
          <w:tab w:val="left" w:pos="6900"/>
        </w:tabs>
        <w:jc w:val="both"/>
      </w:pPr>
    </w:p>
    <w:p w14:paraId="52C97E32" w14:textId="4AAC87D0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Da bi </w:t>
      </w:r>
      <w:r w:rsidR="00C3619D">
        <w:rPr>
          <w:i/>
        </w:rPr>
        <w:t xml:space="preserve">nositelj projekta </w:t>
      </w:r>
      <w:r w:rsidRPr="006112B2">
        <w:rPr>
          <w:i/>
        </w:rPr>
        <w:t>ostvario bodove po ovom kriteriju mora biti priložena građevinska dozvola (ukoliko se ne radi o projektima koji ne zahtijevaju građevinsku dozvolu), odnosno mora biti priložen glavni pro</w:t>
      </w:r>
      <w:r>
        <w:rPr>
          <w:i/>
        </w:rPr>
        <w:t>j</w:t>
      </w:r>
      <w:r w:rsidRPr="006112B2">
        <w:rPr>
          <w:i/>
        </w:rPr>
        <w:t>ekt</w:t>
      </w:r>
      <w:r>
        <w:rPr>
          <w:i/>
        </w:rPr>
        <w:t xml:space="preserve"> (građevinska dozvola ukoliko je potrebna mora biti priložena u drugoj fazi natječaja)</w:t>
      </w:r>
      <w:r w:rsidRPr="006112B2">
        <w:rPr>
          <w:i/>
        </w:rPr>
        <w:t>.</w:t>
      </w:r>
    </w:p>
    <w:p w14:paraId="16FB24D3" w14:textId="77777777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ab/>
      </w:r>
    </w:p>
    <w:p w14:paraId="3BC07244" w14:textId="77777777" w:rsidR="006112B2" w:rsidRPr="006112B2" w:rsidRDefault="006112B2" w:rsidP="006112B2">
      <w:pPr>
        <w:rPr>
          <w:i/>
        </w:rPr>
      </w:pPr>
      <w:r w:rsidRPr="006112B2">
        <w:rPr>
          <w:i/>
        </w:rPr>
        <w:t xml:space="preserve">Ulaganja u građenje (izgradnja nove građevine/rekonstrukcija postojeće građevine) za koje sukladno Zakonu o gradnji i Pravilniku o jednostavnim i drugim građevinama i radovima nije potrebno ishoditi Građevinsku dozvolu kao i ulaganja u opremanje ne ostvaruju bodove na kriteriju odabira “Spremnost projekta”.  </w:t>
      </w:r>
    </w:p>
    <w:p w14:paraId="60EC7CB5" w14:textId="77777777" w:rsidR="006112B2" w:rsidRDefault="006112B2" w:rsidP="006112B2"/>
    <w:p w14:paraId="6B791C12" w14:textId="77777777" w:rsidR="006112B2" w:rsidRDefault="006112B2" w:rsidP="006112B2">
      <w:pPr>
        <w:rPr>
          <w:b/>
        </w:rPr>
      </w:pPr>
      <w:r w:rsidRPr="006112B2">
        <w:rPr>
          <w:b/>
        </w:rPr>
        <w:t>Kriterij odabira broj 5</w:t>
      </w:r>
    </w:p>
    <w:p w14:paraId="2036C318" w14:textId="77777777" w:rsidR="00E54FF3" w:rsidRPr="00E54FF3" w:rsidRDefault="00E54FF3" w:rsidP="00E54FF3">
      <w:pPr>
        <w:rPr>
          <w:b/>
        </w:rPr>
      </w:pPr>
    </w:p>
    <w:p w14:paraId="6FE74090" w14:textId="32EE3CB9" w:rsidR="00E54FF3" w:rsidRDefault="00E54FF3" w:rsidP="00E54FF3">
      <w:pPr>
        <w:rPr>
          <w:i/>
        </w:rPr>
      </w:pPr>
      <w:r w:rsidRPr="00E54FF3">
        <w:rPr>
          <w:i/>
        </w:rPr>
        <w:t>Prosječna cijena po djetetu iznosi: izgradnja 112.000,00 kuna, rekonstrukcija 33.000 kuna, opremanje 13.000 kn</w:t>
      </w:r>
      <w:r w:rsidR="009F25B5">
        <w:rPr>
          <w:i/>
        </w:rPr>
        <w:t xml:space="preserve"> bez PDV -a.</w:t>
      </w:r>
      <w:r w:rsidRPr="00E54FF3">
        <w:rPr>
          <w:i/>
        </w:rPr>
        <w:t xml:space="preserve"> U slučaju kombiniranih tipova ulaganja (na primjer izgradnja i opremanje) za izračun se uzima zbroj prosječnih cijena ovisno o tipu ulaganja. </w:t>
      </w:r>
      <w:r w:rsidR="00C16485">
        <w:rPr>
          <w:i/>
        </w:rPr>
        <w:t>Korisnik</w:t>
      </w:r>
      <w:r w:rsidRPr="00E54FF3">
        <w:rPr>
          <w:i/>
        </w:rPr>
        <w:t xml:space="preserve"> </w:t>
      </w:r>
      <w:r w:rsidR="00C16485">
        <w:rPr>
          <w:i/>
        </w:rPr>
        <w:t xml:space="preserve">je </w:t>
      </w:r>
      <w:r w:rsidRPr="00E54FF3">
        <w:rPr>
          <w:i/>
        </w:rPr>
        <w:t xml:space="preserve">odgovoran da projekt bude u skladu s Državnim pedagoškim standardom predškolskog odgoja i obrazovanja.  </w:t>
      </w:r>
    </w:p>
    <w:p w14:paraId="06BCB18C" w14:textId="11473D2F" w:rsidR="0065299C" w:rsidRPr="00E54FF3" w:rsidRDefault="0065299C" w:rsidP="00E54FF3">
      <w:pPr>
        <w:rPr>
          <w:i/>
        </w:rPr>
      </w:pPr>
      <w:r>
        <w:rPr>
          <w:i/>
        </w:rPr>
        <w:t>Za izračun cijena izgradnje/rekonstrukcije/opremanja po kapacitetu, u obzir se uzima cjelokupni kapacitet dječjeg vrtića, uključujući i predškolu ukoliko s izvodi u sklopu istog.</w:t>
      </w:r>
    </w:p>
    <w:p w14:paraId="15A4D425" w14:textId="77777777" w:rsidR="006112B2" w:rsidRPr="00E54FF3" w:rsidRDefault="006112B2" w:rsidP="006112B2">
      <w:pPr>
        <w:rPr>
          <w:b/>
        </w:rPr>
      </w:pPr>
    </w:p>
    <w:p w14:paraId="6F6B3E6B" w14:textId="77777777" w:rsidR="00E54FF3" w:rsidRDefault="00E54FF3" w:rsidP="006112B2">
      <w:pPr>
        <w:rPr>
          <w:b/>
        </w:rPr>
      </w:pPr>
      <w:r w:rsidRPr="00E54FF3">
        <w:rPr>
          <w:b/>
        </w:rPr>
        <w:t>Kriterij odabira broj 6</w:t>
      </w:r>
    </w:p>
    <w:p w14:paraId="00468ACF" w14:textId="77777777" w:rsidR="00E54FF3" w:rsidRPr="00FD4A73" w:rsidRDefault="00E54FF3" w:rsidP="006112B2">
      <w:pPr>
        <w:rPr>
          <w:b/>
          <w:sz w:val="24"/>
        </w:rPr>
      </w:pPr>
    </w:p>
    <w:p w14:paraId="2D47C519" w14:textId="40851624" w:rsidR="00E54FF3" w:rsidRDefault="00E54FF3" w:rsidP="00E54FF3">
      <w:pPr>
        <w:widowControl/>
        <w:shd w:val="clear" w:color="auto" w:fill="FFFFFF"/>
        <w:spacing w:after="150"/>
        <w:jc w:val="both"/>
        <w:rPr>
          <w:rFonts w:eastAsia="Calibri"/>
          <w:i/>
          <w:color w:val="000000"/>
          <w:szCs w:val="24"/>
          <w:lang w:eastAsia="hr-HR"/>
        </w:rPr>
      </w:pPr>
      <w:r w:rsidRPr="00FD4A73">
        <w:rPr>
          <w:rFonts w:eastAsia="Calibri"/>
          <w:i/>
          <w:color w:val="000000"/>
          <w:szCs w:val="24"/>
          <w:lang w:eastAsia="hr-HR"/>
        </w:rPr>
        <w:t xml:space="preserve">Da bi </w:t>
      </w:r>
      <w:r w:rsidR="00C3619D">
        <w:rPr>
          <w:rFonts w:eastAsia="Calibri"/>
          <w:i/>
          <w:color w:val="000000"/>
          <w:szCs w:val="24"/>
          <w:lang w:eastAsia="hr-HR"/>
        </w:rPr>
        <w:t xml:space="preserve">nositelj projekta </w:t>
      </w:r>
      <w:r w:rsidRPr="00FD4A73">
        <w:rPr>
          <w:rFonts w:eastAsia="Calibri"/>
          <w:i/>
          <w:color w:val="000000"/>
          <w:szCs w:val="24"/>
          <w:lang w:eastAsia="hr-HR"/>
        </w:rPr>
        <w:t xml:space="preserve"> ostvario bodove po navedenom kriteriju kao dokaz mora priložiti presliku odluke o odbijanju Zahtjeva za potporu ili Izjavu kojom izjavljuju da se nisu prijavljivali na natječaje EAFRD – a.</w:t>
      </w:r>
      <w:r w:rsidR="00C729F4" w:rsidRPr="00FD4A73">
        <w:rPr>
          <w:rFonts w:eastAsia="Calibri"/>
          <w:i/>
          <w:color w:val="000000"/>
          <w:szCs w:val="24"/>
          <w:lang w:eastAsia="hr-HR"/>
        </w:rPr>
        <w:t xml:space="preserve"> </w:t>
      </w:r>
    </w:p>
    <w:p w14:paraId="51165027" w14:textId="59566744" w:rsidR="00975456" w:rsidRPr="00975456" w:rsidRDefault="00975456" w:rsidP="00975456">
      <w:pPr>
        <w:widowControl/>
        <w:shd w:val="clear" w:color="auto" w:fill="FFFFFF"/>
        <w:spacing w:after="150"/>
        <w:jc w:val="both"/>
        <w:rPr>
          <w:rFonts w:eastAsia="Calibri"/>
          <w:b/>
          <w:bCs/>
          <w:i/>
          <w:color w:val="000000"/>
          <w:szCs w:val="24"/>
          <w:lang w:eastAsia="hr-HR"/>
        </w:rPr>
      </w:pPr>
      <w:r>
        <w:rPr>
          <w:rFonts w:eastAsia="Calibri"/>
          <w:i/>
          <w:color w:val="000000"/>
          <w:szCs w:val="24"/>
          <w:lang w:eastAsia="hr-HR"/>
        </w:rPr>
        <w:lastRenderedPageBreak/>
        <w:t xml:space="preserve">POJAŠNJENJE: U svrhu ostvarivanja bodova po ovom kriteriju </w:t>
      </w:r>
      <w:r w:rsidR="00C3619D">
        <w:rPr>
          <w:rFonts w:eastAsia="Calibri"/>
          <w:i/>
          <w:color w:val="000000"/>
          <w:szCs w:val="24"/>
          <w:lang w:eastAsia="hr-HR"/>
        </w:rPr>
        <w:t>nositelj projekta</w:t>
      </w:r>
      <w:r>
        <w:rPr>
          <w:rFonts w:eastAsia="Calibri"/>
          <w:i/>
          <w:color w:val="000000"/>
          <w:szCs w:val="24"/>
          <w:lang w:eastAsia="hr-HR"/>
        </w:rPr>
        <w:t xml:space="preserve"> mora dokazati da nije ostvario potporu iz podmjera Programa ruralnog razvoja RH 2014.-2020. </w:t>
      </w:r>
      <w:r w:rsidRPr="00975456">
        <w:rPr>
          <w:rFonts w:eastAsia="Calibri"/>
          <w:i/>
          <w:color w:val="000000"/>
          <w:szCs w:val="24"/>
          <w:lang w:eastAsia="hr-HR"/>
        </w:rPr>
        <w:t>7.4. „</w:t>
      </w:r>
      <w:r w:rsidRPr="00975456">
        <w:rPr>
          <w:rFonts w:eastAsia="Calibri"/>
          <w:bCs/>
          <w:i/>
          <w:color w:val="000000"/>
          <w:szCs w:val="24"/>
          <w:lang w:eastAsia="hr-HR"/>
        </w:rPr>
        <w:t>Ulaganja u pokretanje, poboljšanje ili proširenje lokalnih temeljnih usluga za ruralno stanovništvo, uključujući slobodno vrijeme i kulturne aktivnosti te povezanu infrastrukturu“ i 7.2. Ulaganja u izradu, poboljšanje ili proširenje svih vrsta male infrastrukture, uključujući ulaganja u obnovljive izvore energije i uštedu energije.</w:t>
      </w:r>
    </w:p>
    <w:p w14:paraId="600DD7BC" w14:textId="77777777" w:rsidR="00975456" w:rsidRPr="00975456" w:rsidRDefault="00975456" w:rsidP="00975456">
      <w:pPr>
        <w:widowControl/>
        <w:shd w:val="clear" w:color="auto" w:fill="FFFFFF"/>
        <w:spacing w:after="150"/>
        <w:jc w:val="both"/>
        <w:rPr>
          <w:rFonts w:eastAsia="Calibri"/>
          <w:i/>
          <w:color w:val="000000"/>
          <w:szCs w:val="24"/>
          <w:lang w:eastAsia="hr-HR"/>
        </w:rPr>
      </w:pPr>
    </w:p>
    <w:p w14:paraId="748D68A0" w14:textId="29000C97" w:rsidR="00975456" w:rsidRPr="00FD4A73" w:rsidRDefault="00975456" w:rsidP="00E54FF3">
      <w:pPr>
        <w:widowControl/>
        <w:shd w:val="clear" w:color="auto" w:fill="FFFFFF"/>
        <w:spacing w:after="150"/>
        <w:jc w:val="both"/>
        <w:rPr>
          <w:rFonts w:eastAsia="Calibri"/>
          <w:i/>
          <w:color w:val="000000"/>
          <w:szCs w:val="24"/>
          <w:lang w:eastAsia="hr-HR"/>
        </w:rPr>
      </w:pPr>
    </w:p>
    <w:p w14:paraId="356115C5" w14:textId="77777777" w:rsidR="00E54FF3" w:rsidRPr="00E54FF3" w:rsidRDefault="00E54FF3" w:rsidP="006112B2"/>
    <w:p w14:paraId="688CE594" w14:textId="77777777" w:rsidR="006112B2" w:rsidRPr="006112B2" w:rsidRDefault="006112B2" w:rsidP="006112B2"/>
    <w:p w14:paraId="005055C2" w14:textId="77777777" w:rsidR="006112B2" w:rsidRPr="006112B2" w:rsidRDefault="006112B2" w:rsidP="006112B2"/>
    <w:p w14:paraId="24F691AD" w14:textId="77777777" w:rsidR="006112B2" w:rsidRPr="006112B2" w:rsidRDefault="006112B2" w:rsidP="006112B2"/>
    <w:p w14:paraId="223F550B" w14:textId="77777777" w:rsidR="006112B2" w:rsidRPr="006112B2" w:rsidRDefault="006112B2" w:rsidP="006112B2"/>
    <w:p w14:paraId="72AE5BE3" w14:textId="77777777" w:rsidR="006112B2" w:rsidRPr="006112B2" w:rsidRDefault="006112B2" w:rsidP="006112B2"/>
    <w:p w14:paraId="26080BF4" w14:textId="77777777" w:rsidR="006112B2" w:rsidRPr="006112B2" w:rsidRDefault="006112B2" w:rsidP="006112B2"/>
    <w:p w14:paraId="1DBF461E" w14:textId="77777777" w:rsidR="006112B2" w:rsidRPr="006112B2" w:rsidRDefault="006112B2" w:rsidP="006112B2"/>
    <w:p w14:paraId="4DF1A266" w14:textId="77777777" w:rsidR="006112B2" w:rsidRPr="006112B2" w:rsidRDefault="006112B2" w:rsidP="006112B2"/>
    <w:p w14:paraId="49EFF10E" w14:textId="77777777" w:rsidR="006112B2" w:rsidRPr="006112B2" w:rsidRDefault="006112B2" w:rsidP="006112B2"/>
    <w:p w14:paraId="14FF834D" w14:textId="77777777" w:rsidR="006112B2" w:rsidRPr="006112B2" w:rsidRDefault="006112B2" w:rsidP="006112B2"/>
    <w:p w14:paraId="295CD2F4" w14:textId="77777777" w:rsidR="006112B2" w:rsidRPr="006112B2" w:rsidRDefault="006112B2" w:rsidP="006112B2"/>
    <w:p w14:paraId="69159409" w14:textId="77777777" w:rsidR="006112B2" w:rsidRPr="006112B2" w:rsidRDefault="006112B2" w:rsidP="006112B2"/>
    <w:p w14:paraId="7BDCFC5A" w14:textId="77777777" w:rsidR="006112B2" w:rsidRPr="006112B2" w:rsidRDefault="006112B2" w:rsidP="006112B2"/>
    <w:p w14:paraId="67C9F5CA" w14:textId="77777777" w:rsidR="006112B2" w:rsidRPr="006112B2" w:rsidRDefault="006112B2" w:rsidP="006112B2"/>
    <w:p w14:paraId="49E73234" w14:textId="77777777" w:rsidR="006112B2" w:rsidRPr="006112B2" w:rsidRDefault="006112B2" w:rsidP="006112B2"/>
    <w:p w14:paraId="457DDD57" w14:textId="77777777" w:rsidR="006112B2" w:rsidRPr="006112B2" w:rsidRDefault="006112B2" w:rsidP="006112B2"/>
    <w:p w14:paraId="08A13464" w14:textId="77777777" w:rsidR="006112B2" w:rsidRPr="006112B2" w:rsidRDefault="006112B2" w:rsidP="006112B2"/>
    <w:p w14:paraId="2B639561" w14:textId="77777777" w:rsidR="006112B2" w:rsidRPr="006112B2" w:rsidRDefault="006112B2" w:rsidP="006112B2"/>
    <w:p w14:paraId="266674CB" w14:textId="77777777" w:rsidR="006112B2" w:rsidRPr="006112B2" w:rsidRDefault="006112B2" w:rsidP="006112B2"/>
    <w:p w14:paraId="439B5F52" w14:textId="77777777" w:rsidR="006112B2" w:rsidRPr="006112B2" w:rsidRDefault="006112B2" w:rsidP="006112B2"/>
    <w:p w14:paraId="3AA4A2E2" w14:textId="77777777" w:rsidR="006112B2" w:rsidRPr="006112B2" w:rsidRDefault="006112B2" w:rsidP="006112B2"/>
    <w:p w14:paraId="590986A0" w14:textId="77777777" w:rsidR="006112B2" w:rsidRPr="006112B2" w:rsidRDefault="006112B2" w:rsidP="006112B2"/>
    <w:p w14:paraId="5D7E8FC0" w14:textId="77777777" w:rsidR="006112B2" w:rsidRPr="006112B2" w:rsidRDefault="006112B2" w:rsidP="006112B2"/>
    <w:p w14:paraId="5B5D9A9B" w14:textId="77777777" w:rsidR="006112B2" w:rsidRPr="006112B2" w:rsidRDefault="006112B2" w:rsidP="006112B2"/>
    <w:p w14:paraId="31010EB1" w14:textId="77777777" w:rsidR="006112B2" w:rsidRPr="006112B2" w:rsidRDefault="006112B2" w:rsidP="006112B2"/>
    <w:p w14:paraId="109D62BD" w14:textId="77777777" w:rsidR="006112B2" w:rsidRPr="006112B2" w:rsidRDefault="006112B2" w:rsidP="006112B2"/>
    <w:p w14:paraId="00E19640" w14:textId="77777777" w:rsidR="006112B2" w:rsidRPr="006112B2" w:rsidRDefault="006112B2" w:rsidP="006112B2"/>
    <w:p w14:paraId="694DC175" w14:textId="77777777" w:rsidR="006112B2" w:rsidRPr="006112B2" w:rsidRDefault="006112B2" w:rsidP="006112B2"/>
    <w:p w14:paraId="670385C9" w14:textId="77777777" w:rsidR="006112B2" w:rsidRPr="006112B2" w:rsidRDefault="006112B2" w:rsidP="006112B2"/>
    <w:p w14:paraId="0D3064FC" w14:textId="77777777" w:rsidR="000541E8" w:rsidRPr="006112B2" w:rsidRDefault="000541E8" w:rsidP="006112B2"/>
    <w:sectPr w:rsidR="000541E8" w:rsidRPr="00611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BEFB" w14:textId="77777777" w:rsidR="0014336B" w:rsidRDefault="0014336B" w:rsidP="001B6880">
      <w:r>
        <w:separator/>
      </w:r>
    </w:p>
  </w:endnote>
  <w:endnote w:type="continuationSeparator" w:id="0">
    <w:p w14:paraId="59A0D421" w14:textId="77777777" w:rsidR="0014336B" w:rsidRDefault="0014336B" w:rsidP="001B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3610" w14:textId="77777777" w:rsidR="0014336B" w:rsidRDefault="0014336B" w:rsidP="001B6880">
      <w:r>
        <w:separator/>
      </w:r>
    </w:p>
  </w:footnote>
  <w:footnote w:type="continuationSeparator" w:id="0">
    <w:p w14:paraId="00B7D29A" w14:textId="77777777" w:rsidR="0014336B" w:rsidRDefault="0014336B" w:rsidP="001B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9654" w14:textId="22664AEC" w:rsidR="001B6880" w:rsidRPr="001B6880" w:rsidRDefault="001B6880" w:rsidP="001B6880">
    <w:pPr>
      <w:rPr>
        <w:b/>
        <w:snapToGrid w:val="0"/>
      </w:rPr>
    </w:pPr>
  </w:p>
  <w:p w14:paraId="7809F6D2" w14:textId="32CCE11A" w:rsidR="001B6880" w:rsidRPr="001B6880" w:rsidRDefault="001B6880">
    <w:pPr>
      <w:pStyle w:val="Zaglavlj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B61"/>
    <w:multiLevelType w:val="hybridMultilevel"/>
    <w:tmpl w:val="FE56DABC"/>
    <w:lvl w:ilvl="0" w:tplc="54CA392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44"/>
    <w:rsid w:val="00030619"/>
    <w:rsid w:val="000541E8"/>
    <w:rsid w:val="000F61C5"/>
    <w:rsid w:val="0014336B"/>
    <w:rsid w:val="001B6880"/>
    <w:rsid w:val="002039C8"/>
    <w:rsid w:val="002D22CD"/>
    <w:rsid w:val="002E3644"/>
    <w:rsid w:val="004167C8"/>
    <w:rsid w:val="00550F11"/>
    <w:rsid w:val="00605A79"/>
    <w:rsid w:val="006112B2"/>
    <w:rsid w:val="0065299C"/>
    <w:rsid w:val="00764A1C"/>
    <w:rsid w:val="00975456"/>
    <w:rsid w:val="009D7FD6"/>
    <w:rsid w:val="009F25B5"/>
    <w:rsid w:val="00BA53DA"/>
    <w:rsid w:val="00BC5526"/>
    <w:rsid w:val="00BE2B8F"/>
    <w:rsid w:val="00C16485"/>
    <w:rsid w:val="00C3619D"/>
    <w:rsid w:val="00C729F4"/>
    <w:rsid w:val="00D13AA2"/>
    <w:rsid w:val="00D34721"/>
    <w:rsid w:val="00E54FF3"/>
    <w:rsid w:val="00E76D23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81CE"/>
  <w15:chartTrackingRefBased/>
  <w15:docId w15:val="{1411A125-46F3-49B4-B9B8-74BD66C5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6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364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Odlomakpopisa">
    <w:name w:val="List Paragraph"/>
    <w:basedOn w:val="Normal"/>
    <w:uiPriority w:val="34"/>
    <w:qFormat/>
    <w:rsid w:val="002E3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729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29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29F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29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9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9F4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68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880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B68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8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3</cp:revision>
  <dcterms:created xsi:type="dcterms:W3CDTF">2020-07-31T09:24:00Z</dcterms:created>
  <dcterms:modified xsi:type="dcterms:W3CDTF">2020-07-31T09:28:00Z</dcterms:modified>
</cp:coreProperties>
</file>